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imes New Roman" w:hAnsi="Times New Roman"/>
        </w:rPr>
      </w:pPr>
      <w:r>
        <w:rPr>
          <w:rFonts w:hint="eastAsia" w:ascii="Times New Roman" w:hAnsi="Times New Roman" w:cs="宋体"/>
          <w:b/>
          <w:sz w:val="24"/>
          <w:szCs w:val="24"/>
        </w:rPr>
        <w:t>响应报价表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ascii="sans-serif" w:hAnsi="sans-serif" w:eastAsia="sans-serif" w:cs="sans-serif"/>
          <w:i w:val="0"/>
          <w:iCs w:val="0"/>
          <w:caps w:val="0"/>
          <w:color w:val="000000"/>
          <w:spacing w:val="0"/>
          <w:sz w:val="42"/>
          <w:szCs w:val="42"/>
        </w:rPr>
      </w:pPr>
      <w:r>
        <w:rPr>
          <w:rFonts w:hint="eastAsia" w:ascii="Times New Roman" w:hAnsi="Times New Roman"/>
          <w:b/>
          <w:sz w:val="24"/>
          <w:szCs w:val="24"/>
        </w:rPr>
        <w:t>项目</w:t>
      </w:r>
      <w:r>
        <w:rPr>
          <w:rFonts w:ascii="Times New Roman" w:hAnsi="Times New Roman"/>
          <w:b/>
          <w:sz w:val="24"/>
          <w:szCs w:val="24"/>
        </w:rPr>
        <w:t>名称：</w:t>
      </w:r>
      <w:r>
        <w:rPr>
          <w:rFonts w:hint="default" w:ascii="sans-serif" w:hAnsi="sans-serif" w:eastAsia="sans-serif" w:cs="sans-serif"/>
          <w:i w:val="0"/>
          <w:iCs w:val="0"/>
          <w:caps w:val="0"/>
          <w:color w:val="000000"/>
          <w:spacing w:val="0"/>
          <w:sz w:val="24"/>
          <w:szCs w:val="24"/>
          <w:bdr w:val="none" w:color="auto" w:sz="0" w:space="0"/>
          <w:shd w:val="clear" w:fill="FFFFFF"/>
        </w:rPr>
        <w:t>西宁市第三人民医院购置儿童经皮黄疸仪等设备仪器项目</w:t>
      </w:r>
    </w:p>
    <w:p>
      <w:pPr>
        <w:spacing w:line="360" w:lineRule="auto"/>
        <w:ind w:firstLine="241" w:firstLineChars="100"/>
        <w:textAlignment w:val="baseline"/>
        <w:rPr>
          <w:rFonts w:hint="default" w:ascii="Times New Roman" w:hAnsi="Times New Roman" w:eastAsia="宋体"/>
          <w:b/>
          <w:sz w:val="24"/>
          <w:szCs w:val="24"/>
          <w:lang w:val="en-US" w:eastAsia="zh-CN"/>
        </w:rPr>
      </w:pPr>
    </w:p>
    <w:tbl>
      <w:tblPr>
        <w:tblStyle w:val="8"/>
        <w:tblW w:w="97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705"/>
        <w:gridCol w:w="1420"/>
        <w:gridCol w:w="3855"/>
        <w:gridCol w:w="11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b/>
                <w:sz w:val="24"/>
                <w:szCs w:val="24"/>
              </w:rPr>
            </w:pPr>
            <w:r>
              <w:rPr>
                <w:rFonts w:hint="eastAsia" w:ascii="Times New Roman" w:hAnsi="Times New Roman"/>
                <w:b/>
                <w:sz w:val="24"/>
                <w:szCs w:val="24"/>
              </w:rPr>
              <w:t>序号</w:t>
            </w:r>
          </w:p>
        </w:tc>
        <w:tc>
          <w:tcPr>
            <w:tcW w:w="2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b/>
                <w:sz w:val="24"/>
                <w:szCs w:val="24"/>
              </w:rPr>
            </w:pPr>
            <w:r>
              <w:rPr>
                <w:rFonts w:hint="eastAsia" w:ascii="Times New Roman" w:hAnsi="Times New Roman"/>
                <w:b/>
                <w:sz w:val="24"/>
                <w:szCs w:val="24"/>
              </w:rPr>
              <w:t>项目内容</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b/>
                <w:sz w:val="24"/>
                <w:szCs w:val="24"/>
              </w:rPr>
            </w:pPr>
            <w:r>
              <w:rPr>
                <w:rFonts w:hint="eastAsia" w:ascii="Times New Roman" w:hAnsi="Times New Roman"/>
                <w:b/>
                <w:sz w:val="24"/>
                <w:szCs w:val="24"/>
              </w:rPr>
              <w:t>报价轮次</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b/>
                <w:sz w:val="24"/>
                <w:szCs w:val="24"/>
              </w:rPr>
            </w:pPr>
            <w:r>
              <w:rPr>
                <w:rFonts w:hint="eastAsia" w:ascii="Times New Roman" w:hAnsi="Times New Roman"/>
                <w:b/>
                <w:sz w:val="24"/>
                <w:szCs w:val="24"/>
              </w:rPr>
              <w:t>总报价（元）</w:t>
            </w:r>
          </w:p>
        </w:tc>
        <w:tc>
          <w:tcPr>
            <w:tcW w:w="11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b/>
                <w:sz w:val="24"/>
                <w:szCs w:val="24"/>
              </w:rPr>
            </w:pPr>
            <w:r>
              <w:rPr>
                <w:rFonts w:hint="eastAsia" w:ascii="Times New Roman" w:hAnsi="Times New Roman"/>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bCs/>
                <w:sz w:val="24"/>
                <w:szCs w:val="24"/>
              </w:rPr>
            </w:pPr>
            <w:r>
              <w:rPr>
                <w:rFonts w:hint="eastAsia" w:ascii="Times New Roman" w:hAnsi="Times New Roman"/>
                <w:bCs/>
                <w:sz w:val="24"/>
                <w:szCs w:val="24"/>
              </w:rPr>
              <w:t>1</w:t>
            </w:r>
          </w:p>
        </w:tc>
        <w:tc>
          <w:tcPr>
            <w:tcW w:w="2705" w:type="dxa"/>
            <w:vMerge w:val="restart"/>
            <w:tcBorders>
              <w:top w:val="single" w:color="auto" w:sz="4" w:space="0"/>
              <w:left w:val="single" w:color="auto" w:sz="4" w:space="0"/>
              <w:right w:val="single" w:color="auto" w:sz="4" w:space="0"/>
            </w:tcBorders>
            <w:vAlign w:val="center"/>
          </w:tcPr>
          <w:p>
            <w:pPr>
              <w:spacing w:line="360" w:lineRule="auto"/>
              <w:textAlignment w:val="baseline"/>
              <w:rPr>
                <w:rFonts w:ascii="Times New Roman" w:hAnsi="Times New Roman"/>
                <w:bCs/>
                <w:sz w:val="20"/>
                <w:szCs w:val="21"/>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bCs/>
                <w:sz w:val="24"/>
                <w:szCs w:val="24"/>
              </w:rPr>
            </w:pPr>
            <w:r>
              <w:rPr>
                <w:rFonts w:hint="eastAsia" w:ascii="Times New Roman" w:hAnsi="Times New Roman"/>
                <w:bCs/>
                <w:sz w:val="24"/>
                <w:szCs w:val="24"/>
              </w:rPr>
              <w:t>首次</w:t>
            </w:r>
            <w:r>
              <w:rPr>
                <w:rFonts w:ascii="Times New Roman" w:hAnsi="Times New Roman"/>
                <w:bCs/>
                <w:sz w:val="24"/>
                <w:szCs w:val="24"/>
              </w:rPr>
              <w:t>报价</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sz w:val="24"/>
                <w:szCs w:val="24"/>
              </w:rPr>
            </w:pPr>
            <w:r>
              <w:rPr>
                <w:rFonts w:hint="eastAsia" w:ascii="Times New Roman" w:hAnsi="Times New Roman"/>
                <w:sz w:val="24"/>
                <w:szCs w:val="24"/>
              </w:rPr>
              <w:t>大写（人民币）：</w:t>
            </w:r>
          </w:p>
          <w:p>
            <w:pPr>
              <w:spacing w:line="360" w:lineRule="auto"/>
              <w:textAlignment w:val="baseline"/>
              <w:rPr>
                <w:rFonts w:ascii="Times New Roman" w:hAnsi="Times New Roman"/>
                <w:sz w:val="24"/>
                <w:szCs w:val="24"/>
              </w:rPr>
            </w:pPr>
            <w:r>
              <w:rPr>
                <w:rFonts w:hint="eastAsia" w:ascii="Times New Roman" w:hAnsi="Times New Roman"/>
                <w:sz w:val="24"/>
                <w:szCs w:val="24"/>
              </w:rPr>
              <w:t>小写（￥）：</w:t>
            </w:r>
          </w:p>
        </w:tc>
        <w:tc>
          <w:tcPr>
            <w:tcW w:w="119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bCs/>
                <w:sz w:val="24"/>
                <w:szCs w:val="24"/>
              </w:rPr>
            </w:pPr>
            <w:r>
              <w:rPr>
                <w:rFonts w:hint="eastAsia" w:ascii="Times New Roman" w:hAnsi="Times New Roman"/>
                <w:bCs/>
                <w:sz w:val="24"/>
                <w:szCs w:val="24"/>
              </w:rPr>
              <w:t>2</w:t>
            </w:r>
          </w:p>
        </w:tc>
        <w:tc>
          <w:tcPr>
            <w:tcW w:w="2705" w:type="dxa"/>
            <w:vMerge w:val="continue"/>
            <w:tcBorders>
              <w:left w:val="single" w:color="auto" w:sz="4" w:space="0"/>
              <w:right w:val="single" w:color="auto" w:sz="4" w:space="0"/>
            </w:tcBorders>
            <w:vAlign w:val="center"/>
          </w:tcPr>
          <w:p>
            <w:pPr>
              <w:spacing w:line="360" w:lineRule="auto"/>
              <w:textAlignment w:val="baseline"/>
              <w:rPr>
                <w:rFonts w:ascii="Times New Roman" w:hAnsi="Times New Roman"/>
                <w:bCs/>
                <w:sz w:val="24"/>
                <w:szCs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bCs/>
                <w:sz w:val="24"/>
                <w:szCs w:val="24"/>
              </w:rPr>
            </w:pPr>
            <w:r>
              <w:rPr>
                <w:rFonts w:hint="eastAsia" w:ascii="Times New Roman" w:hAnsi="Times New Roman"/>
                <w:bCs/>
                <w:sz w:val="24"/>
                <w:szCs w:val="24"/>
              </w:rPr>
              <w:t>第二次</w:t>
            </w:r>
            <w:r>
              <w:rPr>
                <w:rFonts w:ascii="Times New Roman" w:hAnsi="Times New Roman"/>
                <w:bCs/>
                <w:sz w:val="24"/>
                <w:szCs w:val="24"/>
              </w:rPr>
              <w:t>报价</w:t>
            </w:r>
            <w:r>
              <w:rPr>
                <w:rFonts w:hint="eastAsia" w:ascii="Times New Roman" w:hAnsi="Times New Roman"/>
                <w:bCs/>
                <w:sz w:val="24"/>
                <w:szCs w:val="24"/>
              </w:rPr>
              <w:t>（议价活动现场填写）</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sz w:val="24"/>
                <w:szCs w:val="24"/>
              </w:rPr>
            </w:pPr>
            <w:r>
              <w:rPr>
                <w:rFonts w:hint="eastAsia" w:ascii="Times New Roman" w:hAnsi="Times New Roman"/>
                <w:sz w:val="24"/>
                <w:szCs w:val="24"/>
              </w:rPr>
              <w:t>大写（人民币）：</w:t>
            </w:r>
          </w:p>
          <w:p>
            <w:pPr>
              <w:spacing w:line="360" w:lineRule="auto"/>
              <w:textAlignment w:val="baseline"/>
              <w:rPr>
                <w:rFonts w:ascii="Times New Roman" w:hAnsi="Times New Roman"/>
                <w:sz w:val="24"/>
                <w:szCs w:val="24"/>
              </w:rPr>
            </w:pPr>
            <w:r>
              <w:rPr>
                <w:rFonts w:hint="eastAsia" w:ascii="Times New Roman" w:hAnsi="Times New Roman"/>
                <w:sz w:val="24"/>
                <w:szCs w:val="24"/>
              </w:rPr>
              <w:t>小写（￥）：</w:t>
            </w:r>
          </w:p>
        </w:tc>
        <w:tc>
          <w:tcPr>
            <w:tcW w:w="119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sz w:val="24"/>
                <w:szCs w:val="24"/>
              </w:rPr>
            </w:pPr>
          </w:p>
        </w:tc>
      </w:tr>
    </w:tbl>
    <w:p>
      <w:pPr>
        <w:spacing w:line="360" w:lineRule="auto"/>
        <w:jc w:val="left"/>
        <w:textAlignment w:val="baseline"/>
        <w:rPr>
          <w:rFonts w:ascii="Times New Roman" w:hAnsi="Times New Roman"/>
          <w:sz w:val="24"/>
          <w:szCs w:val="24"/>
        </w:rPr>
      </w:pPr>
      <w:r>
        <w:rPr>
          <w:rFonts w:hint="eastAsia" w:ascii="Times New Roman" w:hAnsi="Times New Roman"/>
          <w:sz w:val="24"/>
          <w:szCs w:val="24"/>
        </w:rPr>
        <w:t>议价响应单位：（加盖公章）</w:t>
      </w:r>
    </w:p>
    <w:p>
      <w:pPr>
        <w:spacing w:line="360" w:lineRule="auto"/>
        <w:textAlignment w:val="baseline"/>
        <w:rPr>
          <w:rFonts w:ascii="Times New Roman" w:hAnsi="Times New Roman"/>
          <w:sz w:val="24"/>
          <w:szCs w:val="24"/>
        </w:rPr>
      </w:pPr>
      <w:r>
        <w:rPr>
          <w:rFonts w:hint="eastAsia" w:ascii="Times New Roman" w:hAnsi="Times New Roman" w:cs="宋体"/>
          <w:sz w:val="24"/>
          <w:szCs w:val="24"/>
          <w:lang w:val="zh-CN"/>
        </w:rPr>
        <w:t>法定代表人或其授权委托人：</w:t>
      </w:r>
      <w:r>
        <w:rPr>
          <w:rFonts w:hint="eastAsia" w:ascii="Times New Roman" w:hAnsi="Times New Roman" w:cs="宋体"/>
          <w:bCs/>
          <w:spacing w:val="10"/>
          <w:sz w:val="24"/>
          <w:szCs w:val="24"/>
        </w:rPr>
        <w:t>（签字或盖章）</w:t>
      </w:r>
    </w:p>
    <w:p>
      <w:pPr>
        <w:pStyle w:val="5"/>
        <w:spacing w:line="360" w:lineRule="auto"/>
        <w:ind w:firstLine="5400" w:firstLineChars="2250"/>
        <w:jc w:val="left"/>
        <w:textAlignment w:val="baseline"/>
        <w:rPr>
          <w:rFonts w:ascii="Times New Roman" w:hAnsi="Times New Roman" w:cs="宋体"/>
          <w:b/>
          <w:bCs/>
          <w:sz w:val="24"/>
          <w:szCs w:val="24"/>
        </w:rPr>
      </w:pPr>
      <w:bookmarkStart w:id="0" w:name="_GoBack"/>
      <w:bookmarkEnd w:id="0"/>
      <w:r>
        <w:rPr>
          <w:rFonts w:hint="eastAsia" w:ascii="Times New Roman" w:hAnsi="Times New Roman" w:cs="宋体"/>
          <w:sz w:val="24"/>
          <w:szCs w:val="24"/>
        </w:rPr>
        <w:t xml:space="preserve">年 </w:t>
      </w:r>
      <w:r>
        <w:rPr>
          <w:rFonts w:ascii="Times New Roman" w:hAnsi="Times New Roman" w:cs="宋体"/>
          <w:sz w:val="24"/>
          <w:szCs w:val="24"/>
        </w:rPr>
        <w:t xml:space="preserve">  </w:t>
      </w:r>
      <w:r>
        <w:rPr>
          <w:rFonts w:hint="eastAsia" w:ascii="Times New Roman" w:hAnsi="Times New Roman" w:cs="宋体"/>
          <w:sz w:val="24"/>
          <w:szCs w:val="24"/>
        </w:rPr>
        <w:t xml:space="preserve">月 </w:t>
      </w:r>
      <w:r>
        <w:rPr>
          <w:rFonts w:ascii="Times New Roman" w:hAnsi="Times New Roman" w:cs="宋体"/>
          <w:sz w:val="24"/>
          <w:szCs w:val="24"/>
        </w:rPr>
        <w:t xml:space="preserve">  </w:t>
      </w:r>
      <w:r>
        <w:rPr>
          <w:rFonts w:hint="eastAsia" w:ascii="Times New Roman" w:hAnsi="Times New Roman" w:cs="宋体"/>
          <w:sz w:val="24"/>
          <w:szCs w:val="24"/>
        </w:rPr>
        <w:t>日</w:t>
      </w:r>
    </w:p>
    <w:p>
      <w:pPr>
        <w:pStyle w:val="5"/>
        <w:spacing w:line="360" w:lineRule="auto"/>
        <w:textAlignment w:val="baseline"/>
        <w:rPr>
          <w:rFonts w:ascii="Times New Roman" w:hAnsi="Times New Roman" w:cs="宋体"/>
          <w:b/>
          <w:bCs/>
          <w:sz w:val="24"/>
          <w:szCs w:val="24"/>
        </w:rPr>
      </w:pPr>
    </w:p>
    <w:p>
      <w:pPr>
        <w:spacing w:line="360" w:lineRule="auto"/>
        <w:textAlignment w:val="baseline"/>
        <w:rPr>
          <w:rFonts w:ascii="Times New Roman" w:hAnsi="Times New Roman" w:cs="宋体"/>
          <w:b/>
          <w:bCs/>
          <w:sz w:val="24"/>
          <w:szCs w:val="24"/>
        </w:rPr>
      </w:pPr>
    </w:p>
    <w:p>
      <w:pPr>
        <w:spacing w:line="360" w:lineRule="auto"/>
        <w:textAlignment w:val="baseline"/>
        <w:rPr>
          <w:rFonts w:ascii="Times New Roman" w:hAnsi="Times New Roman"/>
          <w:b/>
          <w:sz w:val="24"/>
          <w:szCs w:val="24"/>
        </w:rPr>
      </w:pPr>
      <w:r>
        <w:rPr>
          <w:rFonts w:hint="eastAsia" w:ascii="Times New Roman" w:hAnsi="Times New Roman"/>
          <w:b/>
          <w:sz w:val="24"/>
          <w:szCs w:val="24"/>
        </w:rPr>
        <w:t>注：</w:t>
      </w:r>
    </w:p>
    <w:p>
      <w:pPr>
        <w:numPr>
          <w:ilvl w:val="0"/>
          <w:numId w:val="1"/>
        </w:numPr>
        <w:spacing w:line="360" w:lineRule="auto"/>
        <w:ind w:firstLine="240" w:firstLineChars="100"/>
        <w:textAlignment w:val="baseline"/>
        <w:rPr>
          <w:rFonts w:ascii="Times New Roman" w:hAnsi="Times New Roman" w:cs="宋体"/>
          <w:sz w:val="24"/>
          <w:szCs w:val="24"/>
        </w:rPr>
      </w:pPr>
      <w:r>
        <w:rPr>
          <w:rFonts w:ascii="Times New Roman" w:hAnsi="Times New Roman"/>
          <w:sz w:val="24"/>
          <w:szCs w:val="24"/>
        </w:rPr>
        <w:t>本表</w:t>
      </w:r>
      <w:r>
        <w:rPr>
          <w:rFonts w:hint="eastAsia" w:ascii="Times New Roman" w:hAnsi="Times New Roman"/>
          <w:sz w:val="24"/>
          <w:szCs w:val="24"/>
        </w:rPr>
        <w:t>为格式表</w:t>
      </w:r>
      <w:r>
        <w:rPr>
          <w:rFonts w:ascii="Times New Roman" w:hAnsi="Times New Roman"/>
          <w:sz w:val="24"/>
          <w:szCs w:val="24"/>
        </w:rPr>
        <w:t>，</w:t>
      </w:r>
      <w:r>
        <w:rPr>
          <w:rFonts w:hint="eastAsia" w:ascii="Times New Roman" w:hAnsi="Times New Roman"/>
          <w:sz w:val="24"/>
          <w:szCs w:val="24"/>
        </w:rPr>
        <w:t>不得自行改动，必须提供</w:t>
      </w:r>
      <w:r>
        <w:rPr>
          <w:rFonts w:ascii="Times New Roman" w:hAnsi="Times New Roman"/>
          <w:sz w:val="24"/>
          <w:szCs w:val="24"/>
        </w:rPr>
        <w:t>。</w:t>
      </w:r>
    </w:p>
    <w:p>
      <w:pPr>
        <w:numPr>
          <w:ilvl w:val="0"/>
          <w:numId w:val="1"/>
        </w:numPr>
        <w:spacing w:line="360" w:lineRule="auto"/>
        <w:ind w:firstLine="240" w:firstLineChars="100"/>
        <w:textAlignment w:val="baseline"/>
        <w:rPr>
          <w:rFonts w:ascii="Times New Roman" w:hAnsi="Times New Roman" w:cs="宋体"/>
          <w:sz w:val="24"/>
          <w:szCs w:val="24"/>
        </w:rPr>
      </w:pPr>
      <w:r>
        <w:rPr>
          <w:rFonts w:ascii="Times New Roman" w:hAnsi="Times New Roman"/>
          <w:sz w:val="24"/>
          <w:szCs w:val="24"/>
        </w:rPr>
        <w:t>报价应包括但不限于</w:t>
      </w:r>
      <w:r>
        <w:rPr>
          <w:rFonts w:hint="eastAsia" w:ascii="Times New Roman" w:hAnsi="Times New Roman" w:cs="宋体"/>
          <w:sz w:val="24"/>
          <w:szCs w:val="24"/>
        </w:rPr>
        <w:t>货物到达</w:t>
      </w:r>
      <w:r>
        <w:rPr>
          <w:rFonts w:hint="eastAsia" w:ascii="Times New Roman" w:hAnsi="Times New Roman" w:cs="黑体"/>
          <w:bCs/>
          <w:sz w:val="24"/>
          <w:szCs w:val="24"/>
          <w:shd w:val="clear" w:color="auto" w:fill="FFFFFF"/>
        </w:rPr>
        <w:t>采购</w:t>
      </w:r>
      <w:r>
        <w:rPr>
          <w:rFonts w:hint="eastAsia" w:ascii="Times New Roman" w:hAnsi="Times New Roman" w:cs="宋体"/>
          <w:sz w:val="24"/>
          <w:szCs w:val="24"/>
        </w:rPr>
        <w:t>人指定地点（仓库）的价格，应包括人工费、材料费、机械费、运输装卸费、包装费、检测费、安装调试费、保险、利润、税金、售后服务、政策性文件规定及合同包含的所有风险、责任等各项应有费用。即完成本采购项目服务的所有费用及包含响应采购文件采购要求的所有费用。</w:t>
      </w:r>
    </w:p>
    <w:p>
      <w:pPr>
        <w:widowControl/>
        <w:numPr>
          <w:ilvl w:val="0"/>
          <w:numId w:val="1"/>
        </w:numPr>
        <w:spacing w:line="360" w:lineRule="auto"/>
        <w:ind w:firstLine="241" w:firstLineChars="100"/>
        <w:jc w:val="left"/>
        <w:textAlignment w:val="baseline"/>
        <w:rPr>
          <w:rFonts w:ascii="Times New Roman" w:hAnsi="Times New Roman"/>
          <w:b/>
          <w:sz w:val="24"/>
          <w:szCs w:val="24"/>
        </w:rPr>
      </w:pPr>
      <w:r>
        <w:rPr>
          <w:rFonts w:hint="eastAsia" w:ascii="Times New Roman" w:hAnsi="Times New Roman"/>
          <w:b/>
          <w:sz w:val="24"/>
          <w:szCs w:val="24"/>
        </w:rPr>
        <w:t>注：第二次报价将在议价活动现场填写，响应文件密封提交时只需填写报价总计（首次）。响应报价表后需要附详细的报价明细，报价明细表与首次报价表金额相对应，且第二次报价时，响应报价明细表按同比例下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73EE5A"/>
    <w:multiLevelType w:val="singleLevel"/>
    <w:tmpl w:val="5A73EE5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MyNzA5MDE1ZmM0OWU1NmY3MzljMTdkYzhiM2FlMDQifQ=="/>
  </w:docVars>
  <w:rsids>
    <w:rsidRoot w:val="002F43FA"/>
    <w:rsid w:val="00000BCE"/>
    <w:rsid w:val="000658C1"/>
    <w:rsid w:val="00075AA0"/>
    <w:rsid w:val="001035FF"/>
    <w:rsid w:val="0022256A"/>
    <w:rsid w:val="002F43FA"/>
    <w:rsid w:val="00370E13"/>
    <w:rsid w:val="0038676C"/>
    <w:rsid w:val="00683675"/>
    <w:rsid w:val="00781A35"/>
    <w:rsid w:val="009A4E60"/>
    <w:rsid w:val="00B41B4C"/>
    <w:rsid w:val="00D5480D"/>
    <w:rsid w:val="00D57D35"/>
    <w:rsid w:val="00D83939"/>
    <w:rsid w:val="00FC30BA"/>
    <w:rsid w:val="00FC6662"/>
    <w:rsid w:val="4C43520B"/>
    <w:rsid w:val="657809D4"/>
    <w:rsid w:val="7E082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5"/>
    <w:basedOn w:val="1"/>
    <w:next w:val="1"/>
    <w:semiHidden/>
    <w:unhideWhenUsed/>
    <w:qFormat/>
    <w:uiPriority w:val="9"/>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3"/>
    <w:autoRedefine/>
    <w:semiHidden/>
    <w:unhideWhenUsed/>
    <w:qFormat/>
    <w:uiPriority w:val="99"/>
    <w:pPr>
      <w:ind w:firstLine="420" w:firstLineChars="200"/>
    </w:pPr>
  </w:style>
  <w:style w:type="paragraph" w:styleId="3">
    <w:name w:val="Body Text Indent"/>
    <w:basedOn w:val="1"/>
    <w:link w:val="12"/>
    <w:autoRedefine/>
    <w:semiHidden/>
    <w:unhideWhenUsed/>
    <w:qFormat/>
    <w:uiPriority w:val="99"/>
    <w:pPr>
      <w:spacing w:after="120"/>
      <w:ind w:left="420" w:leftChars="200"/>
    </w:pPr>
  </w:style>
  <w:style w:type="paragraph" w:styleId="5">
    <w:name w:val="index 4"/>
    <w:basedOn w:val="1"/>
    <w:next w:val="1"/>
    <w:autoRedefine/>
    <w:qFormat/>
    <w:uiPriority w:val="0"/>
    <w:pPr>
      <w:ind w:left="1260"/>
    </w:pPr>
    <w:rPr>
      <w:szCs w:val="20"/>
    </w:rPr>
  </w:style>
  <w:style w:type="paragraph" w:styleId="6">
    <w:name w:val="footer"/>
    <w:basedOn w:val="1"/>
    <w:link w:val="11"/>
    <w:unhideWhenUsed/>
    <w:uiPriority w:val="99"/>
    <w:pPr>
      <w:tabs>
        <w:tab w:val="center" w:pos="4153"/>
        <w:tab w:val="right" w:pos="8306"/>
      </w:tabs>
      <w:snapToGrid w:val="0"/>
      <w:jc w:val="left"/>
    </w:pPr>
    <w:rPr>
      <w:sz w:val="18"/>
      <w:szCs w:val="18"/>
    </w:rPr>
  </w:style>
  <w:style w:type="paragraph" w:styleId="7">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uiPriority w:val="99"/>
    <w:rPr>
      <w:sz w:val="18"/>
      <w:szCs w:val="18"/>
    </w:rPr>
  </w:style>
  <w:style w:type="character" w:customStyle="1" w:styleId="11">
    <w:name w:val="页脚 Char"/>
    <w:basedOn w:val="9"/>
    <w:link w:val="6"/>
    <w:uiPriority w:val="99"/>
    <w:rPr>
      <w:sz w:val="18"/>
      <w:szCs w:val="18"/>
    </w:rPr>
  </w:style>
  <w:style w:type="character" w:customStyle="1" w:styleId="12">
    <w:name w:val="正文文本缩进 Char"/>
    <w:basedOn w:val="9"/>
    <w:link w:val="3"/>
    <w:autoRedefine/>
    <w:semiHidden/>
    <w:qFormat/>
    <w:uiPriority w:val="99"/>
    <w:rPr>
      <w:rFonts w:ascii="Calibri" w:hAnsi="Calibri" w:eastAsia="宋体" w:cs="Times New Roman"/>
    </w:rPr>
  </w:style>
  <w:style w:type="character" w:customStyle="1" w:styleId="13">
    <w:name w:val="正文首行缩进 2 Char"/>
    <w:basedOn w:val="12"/>
    <w:link w:val="2"/>
    <w:autoRedefine/>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385</Words>
  <Characters>385</Characters>
  <Lines>2</Lines>
  <Paragraphs>1</Paragraphs>
  <TotalTime>29</TotalTime>
  <ScaleCrop>false</ScaleCrop>
  <LinksUpToDate>false</LinksUpToDate>
  <CharactersWithSpaces>391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2023-04-10T13:45:00Z</dcterms:created>
  <dc:creator>勾 海军</dc:creator>
  <cp:lastModifiedBy> 青春离奇</cp:lastModifiedBy>
  <dcterms:modified xsi:type="dcterms:W3CDTF">2024-06-04T03:24:01Z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F316AC2FC26D45D8928EC48B75CDBA95_12</vt:lpwstr>
  </property>
</Properties>
</file>