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2281" w:tblpY="2663"/>
        <w:tblOverlap w:val="never"/>
        <w:tblW w:w="12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356"/>
        <w:gridCol w:w="2195"/>
        <w:gridCol w:w="3300"/>
        <w:gridCol w:w="98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1" w:type="dxa"/>
          </w:tcPr>
          <w:p>
            <w:pPr>
              <w:jc w:val="center"/>
              <w:rPr>
                <w:rFonts w:hint="default" w:eastAsiaTheme="minorEastAsia"/>
                <w:vertAlign w:val="baseline"/>
                <w:lang w:val="en-US" w:eastAsia="zh-CN"/>
              </w:rPr>
            </w:pPr>
            <w:r>
              <w:rPr>
                <w:rFonts w:hint="eastAsia"/>
                <w:vertAlign w:val="baseline"/>
                <w:lang w:val="en-US" w:eastAsia="zh-CN"/>
              </w:rPr>
              <w:t>服务时间</w:t>
            </w:r>
          </w:p>
        </w:tc>
        <w:tc>
          <w:tcPr>
            <w:tcW w:w="4356" w:type="dxa"/>
          </w:tcPr>
          <w:p>
            <w:pPr>
              <w:jc w:val="center"/>
              <w:rPr>
                <w:rFonts w:hint="default" w:eastAsiaTheme="minorEastAsia"/>
                <w:vertAlign w:val="baseline"/>
                <w:lang w:val="en-US" w:eastAsia="zh-CN"/>
              </w:rPr>
            </w:pPr>
            <w:r>
              <w:rPr>
                <w:rFonts w:hint="eastAsia"/>
                <w:vertAlign w:val="baseline"/>
                <w:lang w:val="en-US" w:eastAsia="zh-CN"/>
              </w:rPr>
              <w:t>服务要求</w:t>
            </w:r>
          </w:p>
        </w:tc>
        <w:tc>
          <w:tcPr>
            <w:tcW w:w="2195" w:type="dxa"/>
          </w:tcPr>
          <w:p>
            <w:pPr>
              <w:jc w:val="center"/>
              <w:rPr>
                <w:rFonts w:hint="eastAsia" w:eastAsiaTheme="minorEastAsia"/>
                <w:vertAlign w:val="baseline"/>
                <w:lang w:val="en-US" w:eastAsia="zh-CN"/>
              </w:rPr>
            </w:pPr>
            <w:r>
              <w:rPr>
                <w:rFonts w:hint="eastAsia"/>
                <w:vertAlign w:val="baseline"/>
                <w:lang w:val="en-US" w:eastAsia="zh-CN"/>
              </w:rPr>
              <w:t>安装调试要求</w:t>
            </w:r>
          </w:p>
        </w:tc>
        <w:tc>
          <w:tcPr>
            <w:tcW w:w="3300" w:type="dxa"/>
          </w:tcPr>
          <w:p>
            <w:pPr>
              <w:jc w:val="center"/>
              <w:rPr>
                <w:rFonts w:hint="default" w:eastAsiaTheme="minorEastAsia"/>
                <w:vertAlign w:val="baseline"/>
                <w:lang w:val="en-US" w:eastAsia="zh-CN"/>
              </w:rPr>
            </w:pPr>
            <w:bookmarkStart w:id="0" w:name="_GoBack"/>
            <w:bookmarkEnd w:id="0"/>
            <w:r>
              <w:rPr>
                <w:rFonts w:hint="eastAsia"/>
                <w:vertAlign w:val="baseline"/>
                <w:lang w:val="en-US" w:eastAsia="zh-CN"/>
              </w:rPr>
              <w:t>通讯接口参数</w:t>
            </w:r>
          </w:p>
        </w:tc>
        <w:tc>
          <w:tcPr>
            <w:tcW w:w="982" w:type="dxa"/>
          </w:tcPr>
          <w:p>
            <w:pPr>
              <w:jc w:val="center"/>
              <w:rPr>
                <w:rFonts w:hint="eastAsia" w:eastAsiaTheme="minorEastAsia"/>
                <w:vertAlign w:val="baseline"/>
                <w:lang w:val="en-US" w:eastAsia="zh-CN"/>
              </w:rPr>
            </w:pPr>
            <w:r>
              <w:rPr>
                <w:rFonts w:hint="eastAsia"/>
                <w:vertAlign w:val="baseline"/>
                <w:lang w:val="en-US" w:eastAsia="zh-CN"/>
              </w:rPr>
              <w:t>数量</w:t>
            </w:r>
          </w:p>
        </w:tc>
        <w:tc>
          <w:tcPr>
            <w:tcW w:w="955" w:type="dxa"/>
          </w:tcPr>
          <w:p>
            <w:pPr>
              <w:jc w:val="center"/>
              <w:rPr>
                <w:rFonts w:hint="default"/>
                <w:vertAlign w:val="baseline"/>
                <w:lang w:val="en-US" w:eastAsia="zh-CN"/>
              </w:rPr>
            </w:pPr>
            <w:r>
              <w:rPr>
                <w:rFonts w:hint="eastAsia"/>
                <w:vertAlign w:val="baseline"/>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71" w:type="dxa"/>
            <w:vMerge w:val="restart"/>
            <w:vAlign w:val="center"/>
          </w:tcPr>
          <w:p>
            <w:pPr>
              <w:jc w:val="both"/>
              <w:rPr>
                <w:rFonts w:hint="default" w:eastAsiaTheme="minorEastAsia"/>
                <w:vertAlign w:val="baseline"/>
                <w:lang w:val="en-US" w:eastAsia="zh-CN"/>
              </w:rPr>
            </w:pPr>
            <w:r>
              <w:rPr>
                <w:rFonts w:hint="eastAsia"/>
                <w:vertAlign w:val="baseline"/>
                <w:lang w:val="en-US" w:eastAsia="zh-CN"/>
              </w:rPr>
              <w:t>自签订合同后30日内</w:t>
            </w:r>
          </w:p>
        </w:tc>
        <w:tc>
          <w:tcPr>
            <w:tcW w:w="4356" w:type="dxa"/>
          </w:tcPr>
          <w:p>
            <w:pPr>
              <w:rPr>
                <w:rFonts w:hint="eastAsia"/>
                <w:vertAlign w:val="baseline"/>
                <w:lang w:val="en-US" w:eastAsia="zh-CN"/>
              </w:rPr>
            </w:pPr>
            <w:r>
              <w:rPr>
                <w:rFonts w:hint="eastAsia" w:ascii="微软雅黑" w:hAnsi="微软雅黑" w:eastAsia="微软雅黑" w:cs="微软雅黑"/>
                <w:i w:val="0"/>
                <w:iCs w:val="0"/>
                <w:caps w:val="0"/>
                <w:color w:val="000000"/>
                <w:spacing w:val="0"/>
                <w:sz w:val="18"/>
                <w:szCs w:val="18"/>
                <w:lang w:val="en-US" w:eastAsia="zh-CN"/>
              </w:rPr>
              <w:t>1、</w:t>
            </w:r>
            <w:r>
              <w:rPr>
                <w:rFonts w:ascii="微软雅黑" w:hAnsi="微软雅黑" w:eastAsia="微软雅黑" w:cs="微软雅黑"/>
                <w:i w:val="0"/>
                <w:iCs w:val="0"/>
                <w:caps w:val="0"/>
                <w:color w:val="000000"/>
                <w:spacing w:val="0"/>
                <w:sz w:val="18"/>
                <w:szCs w:val="18"/>
              </w:rPr>
              <w:t>对我院急诊科和手术室血气分析仪接入到院内LIS系统接口，接入设备后对该接口进行免费维护一年，该免费维护期内除正常的维护外，需对设备接口进行每季度巡检。</w:t>
            </w:r>
          </w:p>
        </w:tc>
        <w:tc>
          <w:tcPr>
            <w:tcW w:w="2195" w:type="dxa"/>
            <w:vMerge w:val="restart"/>
            <w:vAlign w:val="center"/>
          </w:tcPr>
          <w:p>
            <w:pPr>
              <w:jc w:val="both"/>
              <w:rPr>
                <w:rFonts w:asciiTheme="minorHAnsi" w:hAnsiTheme="minorHAnsi" w:eastAsiaTheme="minorEastAsia" w:cstheme="minorBidi"/>
                <w:kern w:val="2"/>
                <w:sz w:val="21"/>
                <w:szCs w:val="24"/>
                <w:vertAlign w:val="baseline"/>
                <w:lang w:val="en-US" w:eastAsia="zh-CN" w:bidi="ar-SA"/>
              </w:rPr>
            </w:pPr>
            <w:r>
              <w:rPr>
                <w:rFonts w:ascii="微软雅黑" w:hAnsi="微软雅黑" w:eastAsia="微软雅黑" w:cs="微软雅黑"/>
                <w:i w:val="0"/>
                <w:iCs w:val="0"/>
                <w:caps w:val="0"/>
                <w:color w:val="000000"/>
                <w:spacing w:val="0"/>
                <w:sz w:val="18"/>
                <w:szCs w:val="18"/>
              </w:rPr>
              <w:t>1.按医院的要求对两个设备进行接入，符合HL7数据传输规范</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2.获取HIS系统电子申请单，完整通过申请单进行登记，解析设备检验项目结果，并保存至LIS系统，完整报告的审核及发布。</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3.检验项目结果的解析及保存过程中必须符合医疗规范，保证医院信息系统数据的安全。</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4.保证数据传输过程中的数据安全及数据一致性。</w:t>
            </w:r>
          </w:p>
        </w:tc>
        <w:tc>
          <w:tcPr>
            <w:tcW w:w="3300" w:type="dxa"/>
            <w:vMerge w:val="restart"/>
            <w:vAlign w:val="center"/>
          </w:tcPr>
          <w:p>
            <w:pPr>
              <w:jc w:val="both"/>
              <w:rPr>
                <w:vertAlign w:val="baseline"/>
              </w:rPr>
            </w:pPr>
            <w:r>
              <w:rPr>
                <w:rFonts w:hint="eastAsia" w:ascii="微软雅黑" w:hAnsi="微软雅黑" w:eastAsia="微软雅黑" w:cs="微软雅黑"/>
                <w:i w:val="0"/>
                <w:iCs w:val="0"/>
                <w:caps w:val="0"/>
                <w:color w:val="000000"/>
                <w:spacing w:val="0"/>
                <w:kern w:val="2"/>
                <w:sz w:val="18"/>
                <w:szCs w:val="18"/>
                <w:lang w:val="en-US" w:eastAsia="zh-CN" w:bidi="ar-SA"/>
              </w:rPr>
              <w:t>1、按照血气分析仪通讯协议解析病人结果，传入LIS系统；</w:t>
            </w:r>
            <w:r>
              <w:rPr>
                <w:rFonts w:hint="eastAsia" w:ascii="微软雅黑" w:hAnsi="微软雅黑" w:eastAsia="微软雅黑" w:cs="微软雅黑"/>
                <w:i w:val="0"/>
                <w:iCs w:val="0"/>
                <w:caps w:val="0"/>
                <w:color w:val="000000"/>
                <w:spacing w:val="0"/>
                <w:kern w:val="2"/>
                <w:sz w:val="18"/>
                <w:szCs w:val="18"/>
                <w:lang w:val="en-US" w:eastAsia="zh-CN" w:bidi="ar-SA"/>
              </w:rPr>
              <w:br w:type="textWrapping"/>
            </w:r>
            <w:r>
              <w:rPr>
                <w:rFonts w:hint="eastAsia" w:ascii="微软雅黑" w:hAnsi="微软雅黑" w:eastAsia="微软雅黑" w:cs="微软雅黑"/>
                <w:i w:val="0"/>
                <w:iCs w:val="0"/>
                <w:caps w:val="0"/>
                <w:color w:val="000000"/>
                <w:spacing w:val="0"/>
                <w:kern w:val="2"/>
                <w:sz w:val="18"/>
                <w:szCs w:val="18"/>
                <w:lang w:val="en-US" w:eastAsia="zh-CN" w:bidi="ar-SA"/>
              </w:rPr>
              <w:t>2、通过TCP／IP网络传输协议方式接入；</w:t>
            </w:r>
            <w:r>
              <w:rPr>
                <w:rFonts w:hint="eastAsia" w:ascii="微软雅黑" w:hAnsi="微软雅黑" w:eastAsia="微软雅黑" w:cs="微软雅黑"/>
                <w:i w:val="0"/>
                <w:iCs w:val="0"/>
                <w:caps w:val="0"/>
                <w:color w:val="000000"/>
                <w:spacing w:val="0"/>
                <w:kern w:val="2"/>
                <w:sz w:val="18"/>
                <w:szCs w:val="18"/>
                <w:lang w:val="en-US" w:eastAsia="zh-CN" w:bidi="ar-SA"/>
              </w:rPr>
              <w:br w:type="textWrapping"/>
            </w:r>
            <w:r>
              <w:rPr>
                <w:rFonts w:hint="eastAsia" w:ascii="微软雅黑" w:hAnsi="微软雅黑" w:eastAsia="微软雅黑" w:cs="微软雅黑"/>
                <w:i w:val="0"/>
                <w:iCs w:val="0"/>
                <w:caps w:val="0"/>
                <w:color w:val="000000"/>
                <w:spacing w:val="0"/>
                <w:kern w:val="2"/>
                <w:sz w:val="18"/>
                <w:szCs w:val="18"/>
                <w:lang w:val="en-US" w:eastAsia="zh-CN" w:bidi="ar-SA"/>
              </w:rPr>
              <w:t>3、通讯协议符合标准医疗接口规范，符合HL7、xml等接入标准；</w:t>
            </w:r>
            <w:r>
              <w:rPr>
                <w:rFonts w:hint="eastAsia" w:ascii="微软雅黑" w:hAnsi="微软雅黑" w:eastAsia="微软雅黑" w:cs="微软雅黑"/>
                <w:i w:val="0"/>
                <w:iCs w:val="0"/>
                <w:caps w:val="0"/>
                <w:color w:val="000000"/>
                <w:spacing w:val="0"/>
                <w:kern w:val="2"/>
                <w:sz w:val="18"/>
                <w:szCs w:val="18"/>
                <w:lang w:val="en-US" w:eastAsia="zh-CN" w:bidi="ar-SA"/>
              </w:rPr>
              <w:br w:type="textWrapping"/>
            </w:r>
            <w:r>
              <w:rPr>
                <w:rFonts w:hint="eastAsia" w:ascii="微软雅黑" w:hAnsi="微软雅黑" w:eastAsia="微软雅黑" w:cs="微软雅黑"/>
                <w:i w:val="0"/>
                <w:iCs w:val="0"/>
                <w:caps w:val="0"/>
                <w:color w:val="000000"/>
                <w:spacing w:val="0"/>
                <w:kern w:val="2"/>
                <w:sz w:val="18"/>
                <w:szCs w:val="18"/>
                <w:lang w:val="en-US" w:eastAsia="zh-CN" w:bidi="ar-SA"/>
              </w:rPr>
              <w:t>4、此设备的接入后符合通过获取HIS电子申请单信息进行获取申请单方式进行登记及支持手工录入的方式进行登记，并且通过设备传输检查项目结果，进行报告的保存和审核后进行报告的发布并且在HIS系统可以通过申请单信息调取报告内容并打印。</w:t>
            </w:r>
            <w:r>
              <w:rPr>
                <w:rFonts w:hint="eastAsia" w:ascii="微软雅黑" w:hAnsi="微软雅黑" w:eastAsia="微软雅黑" w:cs="微软雅黑"/>
                <w:i w:val="0"/>
                <w:iCs w:val="0"/>
                <w:caps w:val="0"/>
                <w:color w:val="000000"/>
                <w:spacing w:val="0"/>
                <w:kern w:val="2"/>
                <w:sz w:val="18"/>
                <w:szCs w:val="18"/>
                <w:lang w:val="en-US" w:eastAsia="zh-CN" w:bidi="ar-SA"/>
              </w:rPr>
              <w:br w:type="textWrapping"/>
            </w:r>
            <w:r>
              <w:rPr>
                <w:rFonts w:hint="eastAsia" w:ascii="微软雅黑" w:hAnsi="微软雅黑" w:eastAsia="微软雅黑" w:cs="微软雅黑"/>
                <w:i w:val="0"/>
                <w:iCs w:val="0"/>
                <w:caps w:val="0"/>
                <w:color w:val="000000"/>
                <w:spacing w:val="0"/>
                <w:kern w:val="2"/>
                <w:sz w:val="18"/>
                <w:szCs w:val="18"/>
                <w:lang w:val="en-US" w:eastAsia="zh-CN" w:bidi="ar-SA"/>
              </w:rPr>
              <w:t>5、此设备接入后可以在检验系统及HIS临床系统中实现血气报告的查阅、预览及打印等功能；</w:t>
            </w:r>
            <w:r>
              <w:rPr>
                <w:rFonts w:hint="eastAsia" w:ascii="宋体" w:hAnsi="宋体" w:eastAsia="宋体" w:cs="宋体"/>
                <w:i w:val="0"/>
                <w:iCs w:val="0"/>
                <w:caps w:val="0"/>
                <w:color w:val="000000"/>
                <w:spacing w:val="0"/>
                <w:sz w:val="18"/>
                <w:szCs w:val="18"/>
              </w:rPr>
              <w:br w:type="textWrapping"/>
            </w:r>
          </w:p>
        </w:tc>
        <w:tc>
          <w:tcPr>
            <w:tcW w:w="982" w:type="dxa"/>
            <w:vMerge w:val="restart"/>
            <w:vAlign w:val="center"/>
          </w:tcPr>
          <w:p>
            <w:pPr>
              <w:ind w:firstLine="420" w:firstLineChars="200"/>
              <w:jc w:val="both"/>
              <w:rPr>
                <w:rFonts w:hint="eastAsia"/>
                <w:vertAlign w:val="baseline"/>
                <w:lang w:val="en-US" w:eastAsia="zh-CN"/>
              </w:rPr>
            </w:pPr>
            <w:r>
              <w:rPr>
                <w:rFonts w:hint="eastAsia"/>
                <w:vertAlign w:val="baseline"/>
                <w:lang w:val="en-US" w:eastAsia="zh-CN"/>
              </w:rPr>
              <w:t>2</w:t>
            </w:r>
          </w:p>
          <w:p>
            <w:pPr>
              <w:jc w:val="both"/>
              <w:rPr>
                <w:rFonts w:hint="eastAsia" w:eastAsiaTheme="minorEastAsia"/>
                <w:vertAlign w:val="baseline"/>
                <w:lang w:val="en-US" w:eastAsia="zh-CN"/>
              </w:rPr>
            </w:pPr>
            <w:r>
              <w:rPr>
                <w:rFonts w:hint="eastAsia"/>
                <w:vertAlign w:val="baseline"/>
                <w:lang w:val="en-US" w:eastAsia="zh-CN"/>
              </w:rPr>
              <w:t>（注：接入设备分别为</w:t>
            </w:r>
            <w:r>
              <w:rPr>
                <w:rFonts w:ascii="微软雅黑" w:hAnsi="微软雅黑" w:eastAsia="微软雅黑" w:cs="微软雅黑"/>
                <w:i w:val="0"/>
                <w:iCs w:val="0"/>
                <w:caps w:val="0"/>
                <w:color w:val="000000"/>
                <w:spacing w:val="0"/>
                <w:sz w:val="18"/>
                <w:szCs w:val="18"/>
              </w:rPr>
              <w:t>急诊科</w:t>
            </w:r>
            <w:r>
              <w:rPr>
                <w:rFonts w:hint="eastAsia" w:ascii="微软雅黑" w:hAnsi="微软雅黑" w:eastAsia="微软雅黑" w:cs="微软雅黑"/>
                <w:i w:val="0"/>
                <w:iCs w:val="0"/>
                <w:caps w:val="0"/>
                <w:color w:val="000000"/>
                <w:spacing w:val="0"/>
                <w:sz w:val="18"/>
                <w:szCs w:val="18"/>
                <w:lang w:val="en-US" w:eastAsia="zh-CN"/>
              </w:rPr>
              <w:t>抢救室</w:t>
            </w:r>
            <w:r>
              <w:rPr>
                <w:rFonts w:ascii="微软雅黑" w:hAnsi="微软雅黑" w:eastAsia="微软雅黑" w:cs="微软雅黑"/>
                <w:i w:val="0"/>
                <w:iCs w:val="0"/>
                <w:caps w:val="0"/>
                <w:color w:val="000000"/>
                <w:spacing w:val="0"/>
                <w:sz w:val="18"/>
                <w:szCs w:val="18"/>
              </w:rPr>
              <w:t>和手术室血气分析</w:t>
            </w:r>
            <w:r>
              <w:rPr>
                <w:rFonts w:hint="eastAsia"/>
                <w:vertAlign w:val="baseline"/>
                <w:lang w:val="en-US" w:eastAsia="zh-CN"/>
              </w:rPr>
              <w:t>）</w:t>
            </w:r>
          </w:p>
        </w:tc>
        <w:tc>
          <w:tcPr>
            <w:tcW w:w="955" w:type="dxa"/>
            <w:vMerge w:val="restart"/>
            <w:vAlign w:val="center"/>
          </w:tcPr>
          <w:p>
            <w:pPr>
              <w:jc w:val="center"/>
              <w:rPr>
                <w:rFonts w:hint="default"/>
                <w:vertAlign w:val="baseline"/>
                <w:lang w:val="en-US" w:eastAsia="zh-CN"/>
              </w:rPr>
            </w:pPr>
            <w:r>
              <w:rPr>
                <w:rFonts w:hint="eastAsia"/>
                <w:vertAlign w:val="baseline"/>
                <w:lang w:val="en-US" w:eastAsia="zh-CN"/>
              </w:rPr>
              <w:t>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71" w:type="dxa"/>
            <w:vMerge w:val="continue"/>
          </w:tcPr>
          <w:p>
            <w:pPr>
              <w:rPr>
                <w:vertAlign w:val="baseline"/>
              </w:rPr>
            </w:pPr>
          </w:p>
        </w:tc>
        <w:tc>
          <w:tcPr>
            <w:tcW w:w="4356" w:type="dxa"/>
          </w:tcPr>
          <w:p>
            <w:pPr>
              <w:rPr>
                <w:vertAlign w:val="baseline"/>
              </w:rPr>
            </w:pP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服务内容</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（1）通讯接口在传输过程中中断带来的排错工作；</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（2）通讯接口因操作失误造成的数据混乱；</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（3）血气报告格式的调整；</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（4）设备故障导致的通讯传输除外。</w:t>
            </w:r>
          </w:p>
        </w:tc>
        <w:tc>
          <w:tcPr>
            <w:tcW w:w="2195" w:type="dxa"/>
            <w:vMerge w:val="continue"/>
          </w:tcPr>
          <w:p>
            <w:pPr>
              <w:rPr>
                <w:vertAlign w:val="baseline"/>
              </w:rPr>
            </w:pPr>
          </w:p>
        </w:tc>
        <w:tc>
          <w:tcPr>
            <w:tcW w:w="3300" w:type="dxa"/>
            <w:vMerge w:val="continue"/>
          </w:tcPr>
          <w:p>
            <w:pPr>
              <w:rPr>
                <w:vertAlign w:val="baseline"/>
              </w:rPr>
            </w:pPr>
          </w:p>
        </w:tc>
        <w:tc>
          <w:tcPr>
            <w:tcW w:w="982" w:type="dxa"/>
            <w:vMerge w:val="continue"/>
          </w:tcPr>
          <w:p>
            <w:pPr>
              <w:rPr>
                <w:vertAlign w:val="baseline"/>
              </w:rPr>
            </w:pPr>
          </w:p>
        </w:tc>
        <w:tc>
          <w:tcPr>
            <w:tcW w:w="95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971" w:type="dxa"/>
            <w:vMerge w:val="continue"/>
          </w:tcPr>
          <w:p>
            <w:pPr>
              <w:rPr>
                <w:vertAlign w:val="baseline"/>
              </w:rPr>
            </w:pPr>
          </w:p>
        </w:tc>
        <w:tc>
          <w:tcPr>
            <w:tcW w:w="4356" w:type="dxa"/>
          </w:tcPr>
          <w:p>
            <w:pPr>
              <w:rPr>
                <w:vertAlign w:val="baseline"/>
              </w:rPr>
            </w:pPr>
            <w:r>
              <w:rPr>
                <w:rFonts w:hint="eastAsia" w:ascii="微软雅黑" w:hAnsi="微软雅黑" w:eastAsia="微软雅黑" w:cs="微软雅黑"/>
                <w:i w:val="0"/>
                <w:iCs w:val="0"/>
                <w:caps w:val="0"/>
                <w:color w:val="000000"/>
                <w:spacing w:val="0"/>
                <w:sz w:val="18"/>
                <w:szCs w:val="18"/>
                <w:lang w:val="en-US" w:eastAsia="zh-CN"/>
              </w:rPr>
              <w:t>3、</w:t>
            </w:r>
            <w:r>
              <w:rPr>
                <w:rFonts w:hint="eastAsia" w:ascii="微软雅黑" w:hAnsi="微软雅黑" w:eastAsia="微软雅黑" w:cs="微软雅黑"/>
                <w:i w:val="0"/>
                <w:iCs w:val="0"/>
                <w:caps w:val="0"/>
                <w:color w:val="000000"/>
                <w:spacing w:val="0"/>
                <w:sz w:val="18"/>
                <w:szCs w:val="18"/>
              </w:rPr>
              <w:t>服务标准</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（1）远程服务标准</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a)提供7×24小时远程协助，电话咨询，电子邮件服务；</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b)提供7×24小时资深技术人员在线咨询服务；</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c)当远程服务不能解决软件问题时，乙方将在在4小时内做出明确响应，经甲方确认后，给予安排现场服务；</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 （2）现场服务标准</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a)现场服务将在远程服务不能解决时或不适合时提供。</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b)现场服务原则上4小时内到达现场，在问题不变更情况下，到达现场后36小时内解决问题（重大问题到达现场24小时内解决）。</w:t>
            </w:r>
          </w:p>
        </w:tc>
        <w:tc>
          <w:tcPr>
            <w:tcW w:w="2195"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3300" w:type="dxa"/>
            <w:vMerge w:val="continue"/>
          </w:tcPr>
          <w:p>
            <w:pPr>
              <w:rPr>
                <w:vertAlign w:val="baseline"/>
              </w:rPr>
            </w:pPr>
          </w:p>
        </w:tc>
        <w:tc>
          <w:tcPr>
            <w:tcW w:w="982" w:type="dxa"/>
            <w:vMerge w:val="continue"/>
          </w:tcPr>
          <w:p>
            <w:pPr>
              <w:rPr>
                <w:vertAlign w:val="baseline"/>
              </w:rPr>
            </w:pPr>
          </w:p>
        </w:tc>
        <w:tc>
          <w:tcPr>
            <w:tcW w:w="955" w:type="dxa"/>
            <w:vMerge w:val="continue"/>
          </w:tcPr>
          <w:p>
            <w:pPr>
              <w:rPr>
                <w:vertAlign w:val="baseline"/>
              </w:rPr>
            </w:pPr>
          </w:p>
        </w:tc>
      </w:tr>
    </w:tbl>
    <w:p>
      <w:pPr>
        <w:autoSpaceDE w:val="0"/>
        <w:autoSpaceDN w:val="0"/>
        <w:adjustRightInd w:val="0"/>
        <w:spacing w:line="360" w:lineRule="auto"/>
        <w:jc w:val="center"/>
        <w:outlineLvl w:val="0"/>
        <w:rPr>
          <w:rStyle w:val="7"/>
          <w:rFonts w:hint="eastAsia" w:ascii="宋体" w:hAnsi="宋体" w:eastAsia="宋体" w:cs="宋体"/>
        </w:rPr>
      </w:pPr>
      <w:r>
        <w:rPr>
          <w:rStyle w:val="7"/>
          <w:rFonts w:hint="eastAsia" w:ascii="宋体" w:hAnsi="宋体" w:eastAsia="宋体" w:cs="宋体"/>
          <w:lang w:val="en-US" w:eastAsia="zh-CN"/>
        </w:rPr>
        <w:t>第二部分、</w:t>
      </w:r>
      <w:r>
        <w:rPr>
          <w:rStyle w:val="7"/>
          <w:rFonts w:hint="eastAsia" w:ascii="宋体" w:hAnsi="宋体" w:eastAsia="宋体" w:cs="宋体"/>
        </w:rPr>
        <w:t>招标</w:t>
      </w:r>
      <w:r>
        <w:rPr>
          <w:rStyle w:val="7"/>
          <w:rFonts w:hint="eastAsia" w:ascii="宋体" w:hAnsi="宋体" w:eastAsia="宋体" w:cs="宋体"/>
          <w:lang w:val="en-US" w:eastAsia="zh-CN"/>
        </w:rPr>
        <w:t>技术参数及服务要求</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43FA0CF0"/>
    <w:rsid w:val="43FA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link w:val="7"/>
    <w:qFormat/>
    <w:uiPriority w:val="0"/>
    <w:pPr>
      <w:spacing w:before="240" w:after="60"/>
      <w:jc w:val="center"/>
      <w:outlineLvl w:val="0"/>
    </w:pPr>
    <w:rPr>
      <w:rFonts w:ascii="Cambria" w:hAnsi="Cambria"/>
      <w:b/>
      <w:bCs/>
      <w:sz w:val="36"/>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字符"/>
    <w:basedOn w:val="6"/>
    <w:link w:val="3"/>
    <w:autoRedefine/>
    <w:qFormat/>
    <w:locked/>
    <w:uiPriority w:val="99"/>
    <w:rPr>
      <w:rFonts w:ascii="Cambria" w:hAnsi="Cambria"/>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2024-07-19T08:07:00Z</dcterms:created>
  <dc:creator>Embrace.</dc:creator>
  <cp:lastModifiedBy>Embrace.</cp:lastModifiedBy>
  <dcterms:modified xsi:type="dcterms:W3CDTF">2024-07-19T08:10:55Z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1D1F29A99D5F422C93EB44AAAC931591_11</vt:lpwstr>
  </property>
</Properties>
</file>