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45F1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参数要求</w:t>
      </w:r>
    </w:p>
    <w:p w14:paraId="0A9FAABF"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1、安装调试费用全部由厂家承担，医院不承担任何费用，中标后10个工作日内按医院指定位置安装完毕</w:t>
      </w:r>
    </w:p>
    <w:p w14:paraId="551FE44D"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医院楼宇内放置自助售货机（饮料、小吃），具体放置数量及位置以甲方要求为准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1A137BE"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按甲方提供的场地位置大小，合理放置售货机，售卖价格与市场价相同。禁止销售三无产品、过期食品、国家明令禁止的或其他不合法律、法规的食品。</w:t>
      </w:r>
    </w:p>
    <w:p w14:paraId="1FFB4D4A"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4、自助售货机产生的电费由供应商自行承担。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0800"/>
    <w:rsid w:val="1D330800"/>
    <w:rsid w:val="368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2025-06-24T01:33:00Z</dcterms:created>
  <dc:creator>东隅</dc:creator>
  <cp:lastModifiedBy>东隅</cp:lastModifiedBy>
  <dcterms:modified xsi:type="dcterms:W3CDTF">2025-06-24T01:41:12Z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0B17B0A386144D39805F44DB6182C497_11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