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EFD9"/>
  <w:body>
    <w:p>
      <w:pPr>
        <w:widowControl/>
        <w:autoSpaceDE w:val="0"/>
        <w:autoSpaceDN w:val="0"/>
        <w:adjustRightInd w:val="0"/>
        <w:snapToGrid w:val="0"/>
        <w:spacing w:line="576" w:lineRule="exact"/>
        <w:jc w:val="center"/>
        <w:textAlignment w:val="baseline"/>
        <w:rPr>
          <w:rFonts w:ascii="方正小标宋简体" w:hAnsi="方正小标宋简体" w:eastAsia="方正小标宋简体" w:cs="方正小标宋简体"/>
          <w:sz w:val="44"/>
          <w:szCs w:val="44"/>
        </w:rPr>
      </w:pPr>
      <w:bookmarkStart w:id="0" w:name="_Hlk183342996"/>
    </w:p>
    <w:p>
      <w:pPr>
        <w:widowControl/>
        <w:autoSpaceDE w:val="0"/>
        <w:autoSpaceDN w:val="0"/>
        <w:adjustRightInd w:val="0"/>
        <w:snapToGrid w:val="0"/>
        <w:spacing w:after="0" w:line="576"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西宁市第三人民医院</w:t>
      </w:r>
    </w:p>
    <w:p>
      <w:pPr>
        <w:widowControl/>
        <w:autoSpaceDE w:val="0"/>
        <w:autoSpaceDN w:val="0"/>
        <w:adjustRightInd w:val="0"/>
        <w:snapToGrid w:val="0"/>
        <w:spacing w:after="0" w:line="576" w:lineRule="exact"/>
        <w:jc w:val="center"/>
        <w:textAlignment w:val="baseline"/>
        <w:rPr>
          <w:rFonts w:ascii="仿宋_GB2312" w:hAnsi="仿宋_GB2312" w:eastAsia="仿宋_GB2312" w:cs="仿宋_GB2312"/>
          <w:spacing w:val="-17"/>
          <w:sz w:val="32"/>
          <w:szCs w:val="32"/>
        </w:rPr>
      </w:pPr>
      <w:r>
        <w:rPr>
          <w:rFonts w:hint="eastAsia" w:ascii="方正小标宋简体" w:hAnsi="方正小标宋简体" w:eastAsia="方正小标宋简体" w:cs="方正小标宋简体"/>
          <w:sz w:val="44"/>
          <w:szCs w:val="44"/>
        </w:rPr>
        <w:t>慢性疾病智能化管理模式建设</w:t>
      </w:r>
      <w:bookmarkEnd w:id="0"/>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采购需求</w:t>
      </w:r>
    </w:p>
    <w:p>
      <w:pPr>
        <w:pStyle w:val="2"/>
        <w:spacing w:after="0" w:line="576" w:lineRule="exact"/>
        <w:ind w:left="0"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1.建设智能化慢病管理平台及管理运行中心</w:t>
      </w:r>
    </w:p>
    <w:p>
      <w:pPr>
        <w:pStyle w:val="2"/>
        <w:spacing w:after="0" w:line="576" w:lineRule="exact"/>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平台建设的原则和要求：该平台以信息化为基础，以物联网为载体，融合人工智能技术，能够为慢病患者主动提供个体化的诊疗服务，包括慢病高危筛查、慢病预防、辅助诊断、用药指导、用药监测、用药后评价、定期随诊提醒、在线问诊、并发症评估、营养膳食方案、院外医学康复锻炼监督、生命体征变化预警、紧急医疗服务启动等。</w:t>
      </w:r>
    </w:p>
    <w:p>
      <w:pPr>
        <w:pStyle w:val="2"/>
        <w:spacing w:after="0" w:line="576" w:lineRule="exact"/>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（2）平台硬件建设方案及要求：</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服务器设备：根据业务需求和数据量，采购高性能的服务器设备，包括应用服务器、数据库服务器、文件服务器等，以确保系统的高效稳定运行。同时，建议采用服务器冗余备份机制，提高系统的可靠性。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存储设备：采购大容量、高速度的存储设备，包括硬盘阵列、网络存储等，以满足数据存储和备份的需求，保障数据的安全性和可靠性。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网络设备：建设稳定高效的网络设备，包括交换机、路由器、防火墙等，以保障内部网络的畅通和安全，提高信息系统的通信效率和安全性。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安全设备：采购先进的安全设备，包括防火墙、入侵检测系统、安全审计系统等，加强信息系统的安全防护能力，保护相关数据和信息安全。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监控设备：建设监控系统，监测和管理信息系统的硬件设备和网络设备运行状态，及时发现和处理故障，确保系统的稳定性和可靠性。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6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供电设备：建设稳定可靠的供电系统，采购UPS不间断电源和发电机等设备，以确保信息系统硬件设备在电力故障时有持续供电，保障系统的连续运行。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7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环境设备：为信息系统硬件设备提供适宜的工作环境，包括模块化机房、空调等设备，控制温度和湿度，保护硬件设备的正常运行。建设方案中的硬件设备采购应选择具有良好性能和可靠性的品牌产品，同时考虑厂家的售后服务和技术支持，以确保硬件设备的质量和稳定性。采购过程中还需谨慎选择合适的供应商，签订详细的合同，明确硬件设备的保修期、支持服务、维护方式等条款，建立健全的售后服务体系，确保硬件设备的正常运行和维护。</w:t>
      </w:r>
    </w:p>
    <w:p>
      <w:pPr>
        <w:pStyle w:val="2"/>
        <w:spacing w:after="0" w:line="576" w:lineRule="exact"/>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（3）平台软件建设方案及要求：</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诊疗方案的产生及实施：结合患者病史、器官功能、居住区域等资料，以慢病诊疗指南为指导原则，为患者制定科学、合理、可执行的诊疗方案，该方案通过慢病管理专家委员会的评估且认可后提供给患者。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建立慢病预防、用药指导、院外康复、营养膳食等媒体库：该媒体库以视频为主，包括汉语、藏语、蒙语等主要语言，定期更新，发动全省各民族医护人员参与制作，视频经慢病管理专家委员会审核合格后收录入媒体库；视频的推送按照垂直推送、机器学习、精准定位的原则实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慢病管理小程序和人体穿戴设备互联：建立慢病管理小程序，供慢病患者及其家人安装，后台接入慢病管理平台，享受相关服务，同时具备线上问诊功能，每日有医护人员提供相应的诊疗服务；为患者提供人体穿戴设备，能够随时测量患者心率、呼吸频率、指尖血氧饱和度、运动强度和时间、睡眠时间、血糖等指标，经患者授权后，这些指标能够通过小程序上报到管理平台并记录在患者医疗档案中；若发现异常指标，视严重程度平台给患者及家属发送预警提醒和就诊建议；</w:t>
      </w:r>
    </w:p>
    <w:p>
      <w:pPr>
        <w:pStyle w:val="2"/>
        <w:spacing w:after="0" w:line="576" w:lineRule="exact"/>
        <w:ind w:left="0" w:firstLine="640" w:firstLineChars="200"/>
        <w:jc w:val="left"/>
        <w:rPr>
          <w:rFonts w:hint="eastAsia" w:ascii="方正小标宋简体" w:hAnsi="方正小标宋简体" w:eastAsia="方正小标宋简体" w:cs="方正小标宋简体"/>
          <w:sz w:val="36"/>
          <w:szCs w:val="36"/>
        </w:rPr>
        <w:sectPr>
          <w:footerReference r:id="rId3" w:type="default"/>
          <w:pgSz w:w="11906" w:h="16838"/>
          <w:pgMar w:top="2098" w:right="1474" w:bottom="1984" w:left="1587" w:header="851" w:footer="1587" w:gutter="0"/>
          <w:pgNumType w:fmt="numberInDash"/>
          <w:cols w:space="425" w:num="1"/>
          <w:docGrid w:type="lines" w:linePitch="312" w:charSpace="0"/>
        </w:sectPr>
      </w:pPr>
      <w:r>
        <w:rPr>
          <w:rFonts w:hint="eastAsia" w:ascii="仿宋_GB2312" w:hAnsi="仿宋_GB2312" w:eastAsia="仿宋_GB2312" w:cs="仿宋_GB2312"/>
          <w:sz w:val="32"/>
          <w:szCs w:val="32"/>
        </w:rPr>
        <w:t>（4）慢病管理平台的管理和运行：慢病管理专家委员会为慢病管理平台的核心管理机构，以呼吸内科、心血管内科、神经内科、神经外科、内分泌科、肿瘤专业为核心，纳入康复医学、营养学、药学、消化内科学等专业，为患者提供全方位的诊疗服务。下辖慢病管理平台运行小组，负责平台的日常维护及运行，处理硬件、软件运行异常，同时向专家委员会提供建议。</w:t>
      </w:r>
    </w:p>
    <w:p>
      <w:pPr>
        <w:spacing w:line="6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慢性疾病智能化管理模式建设项目资金预算表</w:t>
      </w: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876"/>
        <w:gridCol w:w="1425"/>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931" w:type="dxa"/>
          </w:tcPr>
          <w:p>
            <w:pPr>
              <w:pStyle w:val="2"/>
              <w:ind w:left="0" w:firstLine="0" w:firstLineChars="0"/>
              <w:rPr>
                <w:sz w:val="28"/>
                <w:szCs w:val="28"/>
              </w:rPr>
            </w:pPr>
            <w:r>
              <w:rPr>
                <w:rFonts w:hint="eastAsia"/>
                <w:sz w:val="28"/>
                <w:szCs w:val="28"/>
              </w:rPr>
              <w:t>序号</w:t>
            </w:r>
          </w:p>
        </w:tc>
        <w:tc>
          <w:tcPr>
            <w:tcW w:w="2876" w:type="dxa"/>
          </w:tcPr>
          <w:p>
            <w:pPr>
              <w:pStyle w:val="2"/>
              <w:ind w:left="0" w:firstLine="0" w:firstLineChars="0"/>
              <w:jc w:val="center"/>
              <w:rPr>
                <w:sz w:val="28"/>
                <w:szCs w:val="28"/>
              </w:rPr>
            </w:pPr>
            <w:r>
              <w:rPr>
                <w:rFonts w:hint="eastAsia"/>
                <w:sz w:val="28"/>
                <w:szCs w:val="28"/>
              </w:rPr>
              <w:t>设备名称</w:t>
            </w:r>
          </w:p>
        </w:tc>
        <w:tc>
          <w:tcPr>
            <w:tcW w:w="1425" w:type="dxa"/>
          </w:tcPr>
          <w:p>
            <w:pPr>
              <w:pStyle w:val="2"/>
              <w:ind w:firstLine="280"/>
              <w:rPr>
                <w:sz w:val="28"/>
                <w:szCs w:val="28"/>
              </w:rPr>
            </w:pPr>
            <w:r>
              <w:rPr>
                <w:rFonts w:hint="eastAsia"/>
                <w:sz w:val="28"/>
                <w:szCs w:val="28"/>
              </w:rPr>
              <w:t>数量</w:t>
            </w:r>
          </w:p>
        </w:tc>
        <w:tc>
          <w:tcPr>
            <w:tcW w:w="1744" w:type="dxa"/>
          </w:tcPr>
          <w:p>
            <w:pPr>
              <w:pStyle w:val="2"/>
              <w:spacing w:line="360" w:lineRule="exact"/>
              <w:ind w:left="0" w:firstLine="0" w:firstLineChars="0"/>
              <w:jc w:val="center"/>
              <w:rPr>
                <w:sz w:val="28"/>
                <w:szCs w:val="28"/>
              </w:rPr>
            </w:pPr>
            <w:r>
              <w:rPr>
                <w:rFonts w:hint="eastAsia"/>
                <w:sz w:val="28"/>
                <w:szCs w:val="28"/>
              </w:rPr>
              <w:t>预算单价（万元）</w:t>
            </w:r>
          </w:p>
        </w:tc>
        <w:tc>
          <w:tcPr>
            <w:tcW w:w="1744" w:type="dxa"/>
          </w:tcPr>
          <w:p>
            <w:pPr>
              <w:pStyle w:val="2"/>
              <w:spacing w:line="360" w:lineRule="exact"/>
              <w:ind w:left="0" w:firstLine="0" w:firstLineChars="0"/>
              <w:jc w:val="center"/>
              <w:rPr>
                <w:sz w:val="28"/>
                <w:szCs w:val="28"/>
              </w:rPr>
            </w:pPr>
            <w:r>
              <w:rPr>
                <w:rFonts w:hint="eastAsia"/>
                <w:sz w:val="28"/>
                <w:szCs w:val="28"/>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trPr>
        <w:tc>
          <w:tcPr>
            <w:tcW w:w="931" w:type="dxa"/>
          </w:tcPr>
          <w:p>
            <w:pPr>
              <w:pStyle w:val="2"/>
              <w:ind w:left="0" w:firstLine="280"/>
              <w:rPr>
                <w:sz w:val="28"/>
                <w:szCs w:val="28"/>
              </w:rPr>
            </w:pPr>
            <w:r>
              <w:rPr>
                <w:rFonts w:hint="eastAsia"/>
                <w:sz w:val="28"/>
                <w:szCs w:val="28"/>
              </w:rPr>
              <w:t>1</w:t>
            </w:r>
          </w:p>
        </w:tc>
        <w:tc>
          <w:tcPr>
            <w:tcW w:w="2876" w:type="dxa"/>
          </w:tcPr>
          <w:p>
            <w:pPr>
              <w:pStyle w:val="2"/>
              <w:ind w:firstLine="300"/>
            </w:pPr>
            <w:r>
              <w:rPr>
                <w:rFonts w:hint="eastAsia"/>
              </w:rPr>
              <w:t>平台硬件</w:t>
            </w:r>
            <w:r>
              <w:rPr>
                <w:rFonts w:hint="eastAsia"/>
                <w:sz w:val="18"/>
                <w:szCs w:val="18"/>
              </w:rPr>
              <w:t>（数据库存储、SAN交换、超融合平台、防火墙、负载均衡、上网行为管理、缓存服务器、数据交换机、库服务器等）</w:t>
            </w:r>
          </w:p>
        </w:tc>
        <w:tc>
          <w:tcPr>
            <w:tcW w:w="1425" w:type="dxa"/>
          </w:tcPr>
          <w:p>
            <w:pPr>
              <w:pStyle w:val="2"/>
              <w:ind w:firstLine="300"/>
            </w:pPr>
            <w:r>
              <w:rPr>
                <w:rFonts w:hint="eastAsia"/>
              </w:rPr>
              <w:t>1</w:t>
            </w:r>
          </w:p>
        </w:tc>
        <w:tc>
          <w:tcPr>
            <w:tcW w:w="1744" w:type="dxa"/>
          </w:tcPr>
          <w:p>
            <w:pPr>
              <w:pStyle w:val="2"/>
              <w:ind w:firstLine="300"/>
            </w:pPr>
            <w:r>
              <w:rPr>
                <w:rFonts w:hint="eastAsia"/>
              </w:rPr>
              <w:t>525</w:t>
            </w:r>
          </w:p>
        </w:tc>
        <w:tc>
          <w:tcPr>
            <w:tcW w:w="1744" w:type="dxa"/>
          </w:tcPr>
          <w:p>
            <w:pPr>
              <w:pStyle w:val="2"/>
              <w:ind w:firstLine="300"/>
            </w:pPr>
            <w:r>
              <w:rPr>
                <w:rFonts w:hint="eastAsia"/>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931" w:type="dxa"/>
          </w:tcPr>
          <w:p>
            <w:pPr>
              <w:pStyle w:val="2"/>
              <w:ind w:left="0" w:firstLine="280"/>
              <w:rPr>
                <w:sz w:val="28"/>
                <w:szCs w:val="28"/>
              </w:rPr>
            </w:pPr>
            <w:r>
              <w:rPr>
                <w:rFonts w:hint="eastAsia"/>
                <w:sz w:val="28"/>
                <w:szCs w:val="28"/>
              </w:rPr>
              <w:t>2</w:t>
            </w:r>
          </w:p>
        </w:tc>
        <w:tc>
          <w:tcPr>
            <w:tcW w:w="2876" w:type="dxa"/>
          </w:tcPr>
          <w:p>
            <w:pPr>
              <w:pStyle w:val="2"/>
              <w:ind w:firstLine="0" w:firstLineChars="0"/>
            </w:pPr>
            <w:r>
              <w:rPr>
                <w:rFonts w:hint="eastAsia"/>
              </w:rPr>
              <w:t>平台软件建设</w:t>
            </w:r>
          </w:p>
        </w:tc>
        <w:tc>
          <w:tcPr>
            <w:tcW w:w="1425" w:type="dxa"/>
          </w:tcPr>
          <w:p>
            <w:pPr>
              <w:pStyle w:val="2"/>
              <w:ind w:firstLine="300"/>
            </w:pPr>
            <w:r>
              <w:rPr>
                <w:rFonts w:hint="eastAsia"/>
              </w:rPr>
              <w:t>1</w:t>
            </w:r>
          </w:p>
        </w:tc>
        <w:tc>
          <w:tcPr>
            <w:tcW w:w="1744" w:type="dxa"/>
          </w:tcPr>
          <w:p>
            <w:pPr>
              <w:pStyle w:val="2"/>
              <w:ind w:firstLine="300"/>
            </w:pPr>
            <w:r>
              <w:rPr>
                <w:rFonts w:hint="eastAsia"/>
              </w:rPr>
              <w:t>80</w:t>
            </w:r>
          </w:p>
        </w:tc>
        <w:tc>
          <w:tcPr>
            <w:tcW w:w="1744" w:type="dxa"/>
          </w:tcPr>
          <w:p>
            <w:pPr>
              <w:pStyle w:val="2"/>
              <w:ind w:firstLine="300"/>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931" w:type="dxa"/>
          </w:tcPr>
          <w:p>
            <w:pPr>
              <w:pStyle w:val="2"/>
              <w:ind w:left="0" w:firstLine="280"/>
              <w:rPr>
                <w:sz w:val="28"/>
                <w:szCs w:val="28"/>
              </w:rPr>
            </w:pPr>
            <w:r>
              <w:rPr>
                <w:rFonts w:hint="eastAsia"/>
                <w:sz w:val="28"/>
                <w:szCs w:val="28"/>
              </w:rPr>
              <w:t>3</w:t>
            </w:r>
          </w:p>
        </w:tc>
        <w:tc>
          <w:tcPr>
            <w:tcW w:w="2876" w:type="dxa"/>
          </w:tcPr>
          <w:p>
            <w:pPr>
              <w:pStyle w:val="2"/>
              <w:ind w:firstLine="0" w:firstLineChars="0"/>
            </w:pPr>
            <w:r>
              <w:rPr>
                <w:rFonts w:hint="eastAsia"/>
              </w:rPr>
              <w:t>媒体库建设</w:t>
            </w:r>
          </w:p>
        </w:tc>
        <w:tc>
          <w:tcPr>
            <w:tcW w:w="1425" w:type="dxa"/>
          </w:tcPr>
          <w:p>
            <w:pPr>
              <w:pStyle w:val="2"/>
              <w:ind w:firstLine="300"/>
            </w:pPr>
            <w:r>
              <w:rPr>
                <w:rFonts w:hint="eastAsia"/>
              </w:rPr>
              <w:t>1</w:t>
            </w:r>
          </w:p>
        </w:tc>
        <w:tc>
          <w:tcPr>
            <w:tcW w:w="1744" w:type="dxa"/>
          </w:tcPr>
          <w:p>
            <w:pPr>
              <w:pStyle w:val="2"/>
              <w:ind w:firstLine="300"/>
            </w:pPr>
            <w:r>
              <w:rPr>
                <w:rFonts w:hint="eastAsia"/>
              </w:rPr>
              <w:t>60</w:t>
            </w:r>
          </w:p>
        </w:tc>
        <w:tc>
          <w:tcPr>
            <w:tcW w:w="1744" w:type="dxa"/>
          </w:tcPr>
          <w:p>
            <w:pPr>
              <w:pStyle w:val="2"/>
              <w:ind w:firstLine="300"/>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931" w:type="dxa"/>
          </w:tcPr>
          <w:p>
            <w:pPr>
              <w:pStyle w:val="2"/>
              <w:ind w:left="0" w:firstLine="280"/>
              <w:rPr>
                <w:sz w:val="28"/>
                <w:szCs w:val="28"/>
              </w:rPr>
            </w:pPr>
            <w:r>
              <w:rPr>
                <w:rFonts w:hint="eastAsia"/>
                <w:sz w:val="28"/>
                <w:szCs w:val="28"/>
              </w:rPr>
              <w:t>4</w:t>
            </w:r>
          </w:p>
        </w:tc>
        <w:tc>
          <w:tcPr>
            <w:tcW w:w="2876" w:type="dxa"/>
          </w:tcPr>
          <w:p>
            <w:pPr>
              <w:pStyle w:val="2"/>
              <w:ind w:firstLine="0" w:firstLineChars="0"/>
            </w:pPr>
            <w:r>
              <w:rPr>
                <w:rFonts w:hint="eastAsia"/>
              </w:rPr>
              <w:t>人体穿戴设备</w:t>
            </w:r>
          </w:p>
        </w:tc>
        <w:tc>
          <w:tcPr>
            <w:tcW w:w="1425" w:type="dxa"/>
          </w:tcPr>
          <w:p>
            <w:pPr>
              <w:pStyle w:val="2"/>
              <w:ind w:firstLine="300"/>
            </w:pPr>
            <w:r>
              <w:rPr>
                <w:rFonts w:hint="eastAsia"/>
              </w:rPr>
              <w:t>100</w:t>
            </w:r>
          </w:p>
        </w:tc>
        <w:tc>
          <w:tcPr>
            <w:tcW w:w="1744" w:type="dxa"/>
          </w:tcPr>
          <w:p>
            <w:pPr>
              <w:pStyle w:val="2"/>
              <w:ind w:firstLine="300"/>
            </w:pPr>
            <w:r>
              <w:rPr>
                <w:rFonts w:hint="eastAsia"/>
              </w:rPr>
              <w:t>0.1</w:t>
            </w:r>
          </w:p>
        </w:tc>
        <w:tc>
          <w:tcPr>
            <w:tcW w:w="1744" w:type="dxa"/>
          </w:tcPr>
          <w:p>
            <w:pPr>
              <w:pStyle w:val="2"/>
              <w:ind w:firstLine="300"/>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6976" w:type="dxa"/>
            <w:gridSpan w:val="4"/>
          </w:tcPr>
          <w:p>
            <w:pPr>
              <w:pStyle w:val="2"/>
              <w:ind w:firstLine="281"/>
              <w:jc w:val="center"/>
            </w:pPr>
            <w:r>
              <w:rPr>
                <w:rFonts w:hint="eastAsia"/>
                <w:b/>
                <w:bCs/>
                <w:sz w:val="28"/>
                <w:szCs w:val="28"/>
              </w:rPr>
              <w:t>小计（万元）</w:t>
            </w:r>
          </w:p>
        </w:tc>
        <w:tc>
          <w:tcPr>
            <w:tcW w:w="1744" w:type="dxa"/>
          </w:tcPr>
          <w:p>
            <w:pPr>
              <w:pStyle w:val="2"/>
              <w:ind w:firstLine="300"/>
              <w:rPr>
                <w:rFonts w:hint="default" w:eastAsia="宋体"/>
                <w:lang w:val="en-US" w:eastAsia="zh-CN"/>
              </w:rPr>
            </w:pPr>
            <w:r>
              <w:rPr>
                <w:rFonts w:hint="eastAsia"/>
                <w:lang w:val="en-US" w:eastAsia="zh-CN"/>
              </w:rPr>
              <w:t>675</w:t>
            </w:r>
            <w:bookmarkStart w:id="1" w:name="_GoBack"/>
            <w:bookmarkEnd w:id="1"/>
          </w:p>
        </w:tc>
      </w:tr>
    </w:tbl>
    <w:p>
      <w:pPr>
        <w:pStyle w:val="2"/>
        <w:ind w:left="0" w:firstLine="0" w:firstLineChars="0"/>
      </w:pPr>
    </w:p>
    <w:sectPr>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7A"/>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NJWO7QAAAABQEAAA8AAAAA&#10;AAAAAQAgAAAAIgAAAGRycy9kb3ducmV2LnhtbFBLAQIUABQAAAAIAIdO4kCHMrrCqgEAAFsDAAAO&#10;AAAAAAAAAAEAIAAAAB8BAABkcnMvZTJvRG9jLnhtbFBLBQYAAAAABgAGAFkBAAA7BQ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5F"/>
    <w:rsid w:val="000341AC"/>
    <w:rsid w:val="001762DF"/>
    <w:rsid w:val="006F45B7"/>
    <w:rsid w:val="007D4082"/>
    <w:rsid w:val="0086270D"/>
    <w:rsid w:val="00975970"/>
    <w:rsid w:val="00A713D6"/>
    <w:rsid w:val="00CE0757"/>
    <w:rsid w:val="00DE2A5F"/>
    <w:rsid w:val="00E135D9"/>
    <w:rsid w:val="00F42B87"/>
    <w:rsid w:val="041D55B8"/>
    <w:rsid w:val="0FFF0069"/>
    <w:rsid w:val="169969AE"/>
    <w:rsid w:val="1C383476"/>
    <w:rsid w:val="2DC797F4"/>
    <w:rsid w:val="37FD5732"/>
    <w:rsid w:val="3A654EB4"/>
    <w:rsid w:val="3DFFF559"/>
    <w:rsid w:val="3E17DEB6"/>
    <w:rsid w:val="55DB8A3B"/>
    <w:rsid w:val="63FD39BA"/>
    <w:rsid w:val="6B9F7D1D"/>
    <w:rsid w:val="73F14CEF"/>
    <w:rsid w:val="7CD7C952"/>
    <w:rsid w:val="7DFA47FE"/>
    <w:rsid w:val="7FE19A62"/>
    <w:rsid w:val="7FF3A379"/>
    <w:rsid w:val="7FFF6576"/>
    <w:rsid w:val="8FFD1F4A"/>
    <w:rsid w:val="AB7E2DA4"/>
    <w:rsid w:val="AF5735D4"/>
    <w:rsid w:val="B5F9A67D"/>
    <w:rsid w:val="D179247B"/>
    <w:rsid w:val="DC7F3A86"/>
    <w:rsid w:val="DFBFCA31"/>
    <w:rsid w:val="E5F93FFC"/>
    <w:rsid w:val="EABE005F"/>
    <w:rsid w:val="EADF08D3"/>
    <w:rsid w:val="EFFC6451"/>
    <w:rsid w:val="F3E37A38"/>
    <w:rsid w:val="F73F65E0"/>
    <w:rsid w:val="F9B6717F"/>
    <w:rsid w:val="FEDB6CA5"/>
    <w:rsid w:val="FF67142B"/>
    <w:rsid w:val="FFDF2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rPr>
  </w:style>
  <w:style w:type="paragraph" w:styleId="3">
    <w:name w:val="Body Text"/>
    <w:basedOn w:val="1"/>
    <w:next w:val="1"/>
    <w:qFormat/>
    <w:uiPriority w:val="0"/>
    <w:pPr>
      <w:ind w:left="115"/>
    </w:pPr>
    <w:rPr>
      <w:rFonts w:ascii="宋体" w:hAnsi="宋体" w:cs="宋体"/>
      <w:sz w:val="30"/>
      <w:szCs w:val="30"/>
    </w:rPr>
  </w:style>
  <w:style w:type="paragraph" w:styleId="4">
    <w:name w:val="Body Text Indent"/>
    <w:basedOn w:val="1"/>
    <w:next w:val="1"/>
    <w:qFormat/>
    <w:uiPriority w:val="0"/>
    <w:pPr>
      <w:spacing w:after="120"/>
      <w:ind w:left="420" w:leftChars="200"/>
    </w:pPr>
    <w:rPr>
      <w:rFonts w:ascii="Arial" w:hAnsi="Arial" w:eastAsia="Arial" w:cs="Arial"/>
      <w:color w:val="000000"/>
      <w:kern w:val="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文本首行缩进 21"/>
    <w:basedOn w:val="11"/>
    <w:qFormat/>
    <w:uiPriority w:val="0"/>
    <w:pPr>
      <w:ind w:firstLine="420" w:firstLineChars="200"/>
    </w:pPr>
  </w:style>
  <w:style w:type="paragraph" w:customStyle="1" w:styleId="11">
    <w:name w:val="正文文本缩进1"/>
    <w:basedOn w:val="1"/>
    <w:qFormat/>
    <w:uiPriority w:val="0"/>
    <w:pPr>
      <w:spacing w:after="120"/>
      <w:ind w:left="420" w:leftChars="200"/>
    </w:pPr>
    <w:rPr>
      <w:rFonts w:ascii="Arial" w:hAnsi="Arial" w:eastAsia="Arial" w:cs="Arial"/>
      <w:color w:val="000000"/>
      <w:kern w:val="0"/>
      <w:szCs w:val="21"/>
    </w:rPr>
  </w:style>
  <w:style w:type="character" w:customStyle="1" w:styleId="12">
    <w:name w:val="font41"/>
    <w:basedOn w:val="9"/>
    <w:qFormat/>
    <w:uiPriority w:val="0"/>
    <w:rPr>
      <w:rFonts w:ascii="仿宋_GB2312" w:eastAsia="仿宋_GB2312" w:cs="仿宋_GB2312"/>
      <w:color w:val="000000"/>
      <w:sz w:val="24"/>
      <w:szCs w:val="24"/>
      <w:u w:val="none"/>
    </w:rPr>
  </w:style>
  <w:style w:type="character" w:customStyle="1" w:styleId="13">
    <w:name w:val="font01"/>
    <w:basedOn w:val="9"/>
    <w:qFormat/>
    <w:uiPriority w:val="0"/>
    <w:rPr>
      <w:rFonts w:hint="eastAsia" w:ascii="宋体" w:hAnsi="宋体" w:eastAsia="宋体" w:cs="宋体"/>
      <w:color w:val="000000"/>
      <w:sz w:val="24"/>
      <w:szCs w:val="24"/>
      <w:u w:val="none"/>
    </w:rPr>
  </w:style>
  <w:style w:type="character" w:customStyle="1" w:styleId="14">
    <w:name w:val="font31"/>
    <w:basedOn w:val="9"/>
    <w:qFormat/>
    <w:uiPriority w:val="0"/>
    <w:rPr>
      <w:rFonts w:hint="default" w:ascii="Times New Roman" w:hAnsi="Times New Roman" w:cs="Times New Roman"/>
      <w:color w:val="000000"/>
      <w:sz w:val="24"/>
      <w:szCs w:val="24"/>
      <w:u w:val="none"/>
    </w:rPr>
  </w:style>
  <w:style w:type="paragraph" w:customStyle="1" w:styleId="15">
    <w:name w:val="正文缩进1"/>
    <w:basedOn w:val="1"/>
    <w:qFormat/>
    <w:uiPriority w:val="99"/>
    <w:pPr>
      <w:ind w:firstLine="420" w:firstLineChars="200"/>
    </w:pPr>
  </w:style>
  <w:style w:type="paragraph" w:styleId="16">
    <w:name w:val="List Paragraph"/>
    <w:basedOn w:val="1"/>
    <w:qFormat/>
    <w:uiPriority w:val="99"/>
    <w:pPr>
      <w:spacing w:after="0" w:line="576" w:lineRule="exact"/>
      <w:ind w:left="720" w:firstLine="640" w:firstLineChars="200"/>
      <w:contextualSpacing/>
    </w:pPr>
    <w:rPr>
      <w:rFonts w:cs="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1176</Words>
  <Characters>6705</Characters>
  <Lines>55</Lines>
  <Paragraphs>15</Paragraphs>
  <TotalTime>106</TotalTime>
  <ScaleCrop>false</ScaleCrop>
  <LinksUpToDate>false</LinksUpToDate>
  <CharactersWithSpaces>7866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2025-02-26T04:26:00Z</dcterms:created>
  <dc:creator>赵海燕</dc:creator>
  <cp:lastModifiedBy>系统管理员</cp:lastModifiedBy>
  <cp:lastPrinted>2025-02-25T16:31:00Z</cp:lastPrinted>
  <dcterms:modified xsi:type="dcterms:W3CDTF">2025-04-01T01:49:41Z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657279DF056E4F11A5C404A6A89E9E7C_13</vt:lpwstr>
  </property>
  <property fmtid="{D5CDD505-2E9C-101B-9397-08002B2CF9AE}" pid="4" name="KSOTemplateDocerSaveRecord">
    <vt:lpwstr>eyJoZGlkIjoiNTQ1YTcwOTc1ZDUxNTcwOGNiZjNiNTdiY2QzOTc1YTgiLCJ1c2VySWQiOiIyODA4NDI1NzIifQ==</vt:lpwstr>
  </property>
</Properties>
</file>